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15E5" w:rsidRDefault="00F541CA">
      <w:pPr>
        <w:tabs>
          <w:tab w:val="left" w:pos="2427"/>
          <w:tab w:val="left" w:pos="3862"/>
          <w:tab w:val="left" w:pos="8019"/>
        </w:tabs>
        <w:ind w:left="19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1212271" cy="690086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271" cy="690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665661" cy="688085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661" cy="68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1169667" cy="249174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9667" cy="249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noProof/>
        </w:rPr>
        <w:drawing>
          <wp:inline distT="0" distB="0" distL="0" distR="0">
            <wp:extent cx="1111177" cy="280987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1177" cy="280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688437" cy="662940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437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5E5" w:rsidRDefault="003F15E5">
      <w:pPr>
        <w:pStyle w:val="Corpsdetexte"/>
        <w:rPr>
          <w:rFonts w:ascii="Times New Roman"/>
          <w:sz w:val="20"/>
        </w:rPr>
      </w:pPr>
    </w:p>
    <w:p w:rsidR="003F15E5" w:rsidRDefault="003F15E5">
      <w:pPr>
        <w:pStyle w:val="Corpsdetexte"/>
        <w:spacing w:before="5"/>
        <w:rPr>
          <w:rFonts w:ascii="Times New Roman"/>
          <w:sz w:val="25"/>
        </w:rPr>
      </w:pPr>
    </w:p>
    <w:p w:rsidR="003F15E5" w:rsidRDefault="00F541CA">
      <w:pPr>
        <w:pStyle w:val="Corpsdetexte"/>
        <w:spacing w:before="100"/>
        <w:ind w:left="193"/>
      </w:pPr>
      <w:r>
        <w:rPr>
          <w:color w:val="595959"/>
        </w:rPr>
        <w:t>DESENVOLVIMENTO DE CAPACIDADES DE ELABORAÇÃO DE LEIS E POLÍTICAS SOBRE DESLOCAÇÕES INTERNAS</w:t>
      </w:r>
    </w:p>
    <w:p w:rsidR="003F15E5" w:rsidRDefault="003F15E5">
      <w:pPr>
        <w:pStyle w:val="Corpsdetexte"/>
        <w:rPr>
          <w:sz w:val="28"/>
        </w:rPr>
      </w:pPr>
    </w:p>
    <w:p w:rsidR="003F15E5" w:rsidRDefault="003F15E5">
      <w:pPr>
        <w:pStyle w:val="Corpsdetexte"/>
        <w:rPr>
          <w:sz w:val="28"/>
        </w:rPr>
      </w:pPr>
    </w:p>
    <w:p w:rsidR="003F15E5" w:rsidRDefault="003F15E5">
      <w:pPr>
        <w:pStyle w:val="Corpsdetexte"/>
        <w:spacing w:before="7"/>
        <w:rPr>
          <w:sz w:val="25"/>
        </w:rPr>
      </w:pPr>
    </w:p>
    <w:p w:rsidR="003F15E5" w:rsidRDefault="00F541CA" w:rsidP="00301087">
      <w:pPr>
        <w:pStyle w:val="Titre"/>
      </w:pPr>
      <w:r>
        <w:rPr>
          <w:color w:val="5B9BD5"/>
        </w:rPr>
        <w:t>SESSÃO 1: QUEM SÃO AS PDI E QUAIS AS SUAS NECESSIDADES ESPECÍFICAS?</w:t>
      </w:r>
    </w:p>
    <w:p w:rsidR="003F15E5" w:rsidRDefault="003F15E5">
      <w:pPr>
        <w:pStyle w:val="Corpsdetexte"/>
        <w:rPr>
          <w:sz w:val="20"/>
        </w:rPr>
      </w:pPr>
    </w:p>
    <w:p w:rsidR="003F15E5" w:rsidRDefault="003F15E5">
      <w:pPr>
        <w:pStyle w:val="Corpsdetexte"/>
        <w:rPr>
          <w:sz w:val="20"/>
        </w:rPr>
      </w:pPr>
    </w:p>
    <w:p w:rsidR="003F15E5" w:rsidRDefault="003F15E5">
      <w:pPr>
        <w:pStyle w:val="Corpsdetexte"/>
        <w:rPr>
          <w:sz w:val="20"/>
        </w:rPr>
      </w:pPr>
    </w:p>
    <w:p w:rsidR="003F15E5" w:rsidRDefault="00AC71AD">
      <w:pPr>
        <w:pStyle w:val="Corpsdetexte"/>
        <w:spacing w:before="1"/>
        <w:rPr>
          <w:sz w:val="25"/>
        </w:rPr>
      </w:pPr>
      <w:r>
        <w:pict>
          <v:group id="_x0000_s1030" style="position:absolute;margin-left:66.6pt;margin-top:6.3pt;width:106.1pt;height:485.4pt;z-index:15728640;mso-position-horizontal-relative:page" coordorigin="1332,-180" coordsize="2122,9173">
            <v:shape id="_x0000_s1032" style="position:absolute;left:1332;top:-181;width:2122;height:9173" coordorigin="1332,-180" coordsize="2122,9173" path="m3454,-180r-2122,l1332,103r,58l1332,434r,58l1332,8993r2122,l3454,492r,-58l3454,161r,-58l3454,-180xe" fillcolor="#deeaf6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1332;top:-181;width:2122;height:9173" filled="f" stroked="f">
              <v:textbox style="mso-next-textbox:#_x0000_s1031" inset="0,0,0,0">
                <w:txbxContent>
                  <w:p w:rsidR="003F15E5" w:rsidRDefault="003F15E5">
                    <w:pPr>
                      <w:spacing w:before="10"/>
                      <w:rPr>
                        <w:sz w:val="28"/>
                      </w:rPr>
                    </w:pPr>
                  </w:p>
                  <w:p w:rsidR="003F15E5" w:rsidRDefault="00F541CA">
                    <w:pPr>
                      <w:ind w:left="81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RESUMO</w:t>
                    </w:r>
                  </w:p>
                </w:txbxContent>
              </v:textbox>
            </v:shape>
            <w10:wrap anchorx="page"/>
          </v:group>
        </w:pict>
      </w:r>
    </w:p>
    <w:p w:rsidR="003F15E5" w:rsidRDefault="00301087">
      <w:pPr>
        <w:pStyle w:val="Corpsdetexte"/>
        <w:spacing w:before="100" w:line="242" w:lineRule="auto"/>
        <w:ind w:left="2315" w:right="109"/>
      </w:pPr>
      <w:r>
        <w:t>Esta sessão visa mostrar a escala de deslocações internas e as suas principais tendências, a nível mundial e no país X, e analisar a definição de PDI e as suas implicações na elaboração de leis e políticas.</w:t>
      </w:r>
    </w:p>
    <w:p w:rsidR="003F15E5" w:rsidRDefault="00F541CA">
      <w:pPr>
        <w:pStyle w:val="Corpsdetexte"/>
        <w:spacing w:before="193"/>
        <w:ind w:left="2315" w:right="112"/>
        <w:jc w:val="both"/>
      </w:pPr>
      <w:r>
        <w:t>A deslocação interna é um fenómeno que tem atraído cada vez mais atenção nas duas últimas décadas, levantando a questão das necessidades específicas das PDI e das preocupações com a sua proteção. Os Princípios Orientadores e a Convenção de Kampala fornecem definições abrangentes que realçam as características mais proeminentes de uma PDI e uma série de potenciais causas de deslocação. Uma vez que as definições têm uma relevância operacional e visam auxiliar as autoridades estatais, as organizações humanitárias e outras unidades de intervenção a identificar as vulnerabilidades específicas das PDI, um instrumento nacional deve estar em conformidade com essas definições e não restringir o seu âmbito. Uma definição restrita de PDI pode levar à discriminação, sobretudo quando a assistência e proteção estão em risco.</w:t>
      </w:r>
    </w:p>
    <w:p w:rsidR="003F15E5" w:rsidRDefault="00F541CA">
      <w:pPr>
        <w:pStyle w:val="Corpsdetexte"/>
        <w:spacing w:before="199"/>
        <w:ind w:left="2315" w:right="112"/>
        <w:jc w:val="both"/>
      </w:pPr>
      <w:r>
        <w:t>A fundamentação lógica subjacente à definição de PDI tem a ver com identificar as necessidades das pessoas que fogem da sua área de origem, mas permanecem no país. A deslocação gera problemas e necessidades específicos que devem ser considerados e resolvidos.</w:t>
      </w:r>
    </w:p>
    <w:p w:rsidR="003F15E5" w:rsidRDefault="00F541CA">
      <w:pPr>
        <w:pStyle w:val="Corpsdetexte"/>
        <w:spacing w:before="201"/>
        <w:ind w:left="2315" w:right="112"/>
        <w:jc w:val="both"/>
      </w:pPr>
      <w:r>
        <w:t xml:space="preserve">“Avaliações no Afeganistão revelaram que as PDI são geralmente mais vulneráveis do que outras pessoas pobres, sobretudo nas primeiras fases de deslocação: 1. As PDI vivem em condições de habitação mais precárias; 2. As PDI mostram maior insegurança alimentar nos primeiros anos de deslocação; e 3. As PDI vivem em más condições de higiene e saneamento, com poucos serviços essenciais e acesso inadequado à eletricidade, água e instalações sanitárias. No entanto, as suas necessidades não são totalmente supridas pelo atual nível de assistência. </w:t>
      </w:r>
    </w:p>
    <w:p w:rsidR="00F541CA" w:rsidRDefault="00F541CA">
      <w:pPr>
        <w:pStyle w:val="Corpsdetexte"/>
        <w:spacing w:before="201"/>
        <w:ind w:left="2315" w:right="112"/>
        <w:jc w:val="both"/>
      </w:pPr>
    </w:p>
    <w:p w:rsidR="003F15E5" w:rsidRDefault="003F15E5">
      <w:pPr>
        <w:jc w:val="both"/>
        <w:sectPr w:rsidR="003F15E5">
          <w:type w:val="continuous"/>
          <w:pgSz w:w="11900" w:h="16820"/>
          <w:pgMar w:top="900" w:right="1480" w:bottom="280" w:left="1220" w:header="708" w:footer="708" w:gutter="0"/>
          <w:cols w:space="708"/>
        </w:sectPr>
      </w:pPr>
    </w:p>
    <w:p w:rsidR="003F15E5" w:rsidRDefault="00AC71AD">
      <w:pPr>
        <w:pStyle w:val="Corpsdetexte"/>
        <w:spacing w:before="82"/>
        <w:ind w:left="2315" w:right="112"/>
        <w:jc w:val="both"/>
      </w:pPr>
      <w:r>
        <w:lastRenderedPageBreak/>
        <w:pict>
          <v:group id="_x0000_s1027" style="position:absolute;left:0;text-align:left;margin-left:66.6pt;margin-top:-.3pt;width:106.1pt;height:661pt;z-index:15729664;mso-position-horizontal-relative:page" coordorigin="1332,-6" coordsize="2122,10695">
            <v:shape id="_x0000_s1029" style="position:absolute;left:1332;top:-7;width:2122;height:10695" coordorigin="1332,-6" coordsize="2122,10695" path="m3454,-6r-2122,l1332,1631r,288l1332,10688r2122,l3454,1631r,-1637xe" fillcolor="#deeaf6" stroked="f">
              <v:path arrowok="t"/>
            </v:shape>
            <v:shape id="_x0000_s1028" type="#_x0000_t202" style="position:absolute;left:1332;top:-7;width:2122;height:10695" filled="f" stroked="f">
              <v:textbox inset="0,0,0,0">
                <w:txbxContent>
                  <w:p w:rsidR="003F15E5" w:rsidRDefault="003F15E5">
                    <w:pPr>
                      <w:rPr>
                        <w:sz w:val="26"/>
                      </w:rPr>
                    </w:pPr>
                  </w:p>
                  <w:p w:rsidR="003F15E5" w:rsidRDefault="003F15E5">
                    <w:pPr>
                      <w:rPr>
                        <w:sz w:val="26"/>
                      </w:rPr>
                    </w:pPr>
                  </w:p>
                  <w:p w:rsidR="003F15E5" w:rsidRDefault="003F15E5">
                    <w:pPr>
                      <w:rPr>
                        <w:sz w:val="26"/>
                      </w:rPr>
                    </w:pPr>
                  </w:p>
                  <w:p w:rsidR="003F15E5" w:rsidRDefault="003F15E5">
                    <w:pPr>
                      <w:rPr>
                        <w:sz w:val="26"/>
                      </w:rPr>
                    </w:pPr>
                  </w:p>
                  <w:p w:rsidR="003F15E5" w:rsidRDefault="003F15E5">
                    <w:pPr>
                      <w:rPr>
                        <w:sz w:val="26"/>
                      </w:rPr>
                    </w:pPr>
                  </w:p>
                  <w:p w:rsidR="00AC71AD" w:rsidRDefault="00AC71AD">
                    <w:pPr>
                      <w:rPr>
                        <w:sz w:val="26"/>
                      </w:rPr>
                    </w:pPr>
                  </w:p>
                  <w:p w:rsidR="00AC71AD" w:rsidRDefault="00AC71AD">
                    <w:pPr>
                      <w:rPr>
                        <w:sz w:val="26"/>
                      </w:rPr>
                    </w:pPr>
                  </w:p>
                  <w:p w:rsidR="003F15E5" w:rsidRDefault="003F15E5">
                    <w:pPr>
                      <w:spacing w:before="3"/>
                      <w:rPr>
                        <w:sz w:val="33"/>
                      </w:rPr>
                    </w:pPr>
                  </w:p>
                  <w:p w:rsidR="003F15E5" w:rsidRDefault="00F541CA">
                    <w:pPr>
                      <w:spacing w:before="1"/>
                      <w:ind w:left="81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OBJETIVOS</w:t>
                    </w:r>
                  </w:p>
                  <w:p w:rsidR="003F15E5" w:rsidRDefault="003F15E5">
                    <w:pPr>
                      <w:rPr>
                        <w:sz w:val="26"/>
                      </w:rPr>
                    </w:pPr>
                  </w:p>
                  <w:p w:rsidR="003F15E5" w:rsidRDefault="003F15E5">
                    <w:pPr>
                      <w:rPr>
                        <w:sz w:val="26"/>
                      </w:rPr>
                    </w:pPr>
                  </w:p>
                  <w:p w:rsidR="003F15E5" w:rsidRDefault="003F15E5">
                    <w:pPr>
                      <w:rPr>
                        <w:sz w:val="26"/>
                      </w:rPr>
                    </w:pPr>
                  </w:p>
                  <w:p w:rsidR="003F15E5" w:rsidRDefault="003F15E5">
                    <w:pPr>
                      <w:rPr>
                        <w:sz w:val="26"/>
                      </w:rPr>
                    </w:pPr>
                  </w:p>
                  <w:p w:rsidR="003F15E5" w:rsidRDefault="003F15E5">
                    <w:pPr>
                      <w:rPr>
                        <w:sz w:val="26"/>
                      </w:rPr>
                    </w:pPr>
                  </w:p>
                  <w:p w:rsidR="003F15E5" w:rsidRDefault="003F15E5">
                    <w:pPr>
                      <w:rPr>
                        <w:sz w:val="26"/>
                      </w:rPr>
                    </w:pPr>
                  </w:p>
                  <w:p w:rsidR="003F15E5" w:rsidRDefault="003F15E5">
                    <w:pPr>
                      <w:rPr>
                        <w:sz w:val="26"/>
                      </w:rPr>
                    </w:pPr>
                  </w:p>
                  <w:p w:rsidR="003F15E5" w:rsidRDefault="003F15E5">
                    <w:pPr>
                      <w:rPr>
                        <w:sz w:val="26"/>
                      </w:rPr>
                    </w:pPr>
                  </w:p>
                  <w:p w:rsidR="00AC71AD" w:rsidRDefault="00AC71AD">
                    <w:pPr>
                      <w:rPr>
                        <w:sz w:val="26"/>
                      </w:rPr>
                    </w:pPr>
                  </w:p>
                  <w:p w:rsidR="003F15E5" w:rsidRDefault="00F541CA">
                    <w:pPr>
                      <w:spacing w:before="166"/>
                      <w:ind w:left="81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PRINCIPAIS MENSAGENS</w:t>
                    </w:r>
                  </w:p>
                  <w:p w:rsidR="003F15E5" w:rsidRDefault="003F15E5">
                    <w:pPr>
                      <w:rPr>
                        <w:sz w:val="26"/>
                      </w:rPr>
                    </w:pPr>
                  </w:p>
                  <w:p w:rsidR="003F15E5" w:rsidRDefault="003F15E5">
                    <w:pPr>
                      <w:rPr>
                        <w:sz w:val="26"/>
                      </w:rPr>
                    </w:pPr>
                  </w:p>
                  <w:p w:rsidR="003F15E5" w:rsidRDefault="003F15E5">
                    <w:pPr>
                      <w:rPr>
                        <w:sz w:val="26"/>
                      </w:rPr>
                    </w:pPr>
                  </w:p>
                  <w:p w:rsidR="003F15E5" w:rsidRDefault="003F15E5">
                    <w:pPr>
                      <w:rPr>
                        <w:sz w:val="26"/>
                      </w:rPr>
                    </w:pPr>
                  </w:p>
                  <w:p w:rsidR="003F15E5" w:rsidRDefault="003F15E5">
                    <w:pPr>
                      <w:rPr>
                        <w:sz w:val="26"/>
                      </w:rPr>
                    </w:pPr>
                  </w:p>
                  <w:p w:rsidR="003F15E5" w:rsidRDefault="003F15E5">
                    <w:pPr>
                      <w:rPr>
                        <w:sz w:val="26"/>
                      </w:rPr>
                    </w:pPr>
                  </w:p>
                  <w:p w:rsidR="003F15E5" w:rsidRDefault="003F15E5">
                    <w:pPr>
                      <w:rPr>
                        <w:sz w:val="26"/>
                      </w:rPr>
                    </w:pPr>
                  </w:p>
                  <w:p w:rsidR="00AC71AD" w:rsidRDefault="00AC71AD">
                    <w:pPr>
                      <w:rPr>
                        <w:sz w:val="26"/>
                      </w:rPr>
                    </w:pPr>
                  </w:p>
                  <w:p w:rsidR="00AC71AD" w:rsidRDefault="00AC71AD">
                    <w:pPr>
                      <w:rPr>
                        <w:sz w:val="26"/>
                      </w:rPr>
                    </w:pPr>
                  </w:p>
                  <w:p w:rsidR="003F15E5" w:rsidRDefault="003F15E5">
                    <w:pPr>
                      <w:spacing w:before="10"/>
                      <w:rPr>
                        <w:sz w:val="36"/>
                      </w:rPr>
                    </w:pPr>
                  </w:p>
                  <w:p w:rsidR="003F15E5" w:rsidRDefault="00F541CA">
                    <w:pPr>
                      <w:ind w:left="81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DOCUMENTAÇÃO</w:t>
                    </w:r>
                  </w:p>
                  <w:p w:rsidR="003F15E5" w:rsidRDefault="003F15E5">
                    <w:pPr>
                      <w:rPr>
                        <w:sz w:val="26"/>
                      </w:rPr>
                    </w:pPr>
                  </w:p>
                  <w:p w:rsidR="003F15E5" w:rsidRDefault="003F15E5">
                    <w:pPr>
                      <w:rPr>
                        <w:sz w:val="26"/>
                      </w:rPr>
                    </w:pPr>
                  </w:p>
                  <w:p w:rsidR="003F15E5" w:rsidRDefault="003F15E5">
                    <w:pPr>
                      <w:rPr>
                        <w:sz w:val="26"/>
                      </w:rPr>
                    </w:pPr>
                  </w:p>
                  <w:p w:rsidR="003F15E5" w:rsidRDefault="003F15E5">
                    <w:pPr>
                      <w:rPr>
                        <w:sz w:val="26"/>
                      </w:rPr>
                    </w:pPr>
                  </w:p>
                  <w:p w:rsidR="00AC71AD" w:rsidRDefault="00AC71AD">
                    <w:pPr>
                      <w:rPr>
                        <w:sz w:val="26"/>
                      </w:rPr>
                    </w:pPr>
                  </w:p>
                  <w:p w:rsidR="00AC71AD" w:rsidRDefault="00AC71AD">
                    <w:pPr>
                      <w:rPr>
                        <w:sz w:val="26"/>
                      </w:rPr>
                    </w:pPr>
                  </w:p>
                  <w:p w:rsidR="003F15E5" w:rsidRDefault="003F15E5">
                    <w:pPr>
                      <w:rPr>
                        <w:sz w:val="26"/>
                      </w:rPr>
                    </w:pPr>
                  </w:p>
                  <w:p w:rsidR="003F15E5" w:rsidRDefault="003F15E5">
                    <w:pPr>
                      <w:rPr>
                        <w:sz w:val="26"/>
                      </w:rPr>
                    </w:pPr>
                  </w:p>
                  <w:p w:rsidR="003F15E5" w:rsidRDefault="003F15E5">
                    <w:pPr>
                      <w:rPr>
                        <w:sz w:val="20"/>
                      </w:rPr>
                    </w:pPr>
                  </w:p>
                  <w:p w:rsidR="003F15E5" w:rsidRDefault="00F541CA">
                    <w:pPr>
                      <w:ind w:left="81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MATERIAL DE APOIO</w:t>
                    </w:r>
                  </w:p>
                </w:txbxContent>
              </v:textbox>
            </v:shape>
            <w10:wrap anchorx="page"/>
          </v:group>
        </w:pict>
      </w:r>
      <w:r w:rsidR="00F541CA">
        <w:t>Uma avaliação efetuada em 2013 pelo Programa de Assistência Habitacional do ACNUR mostra que as PDI dão-se pior do que os refugiados retornados no processo de reintegração e são marginalizadas no seu acesso a terrenos e habitação. A luta, o conflito e os desastres naturais podem gerar múltiplas deslocações, incluindo em áreas onde as agências humanitárias podem não ter total acesso, resultando, por conseguinte, no agravamento das vulnerabilidades das PDI.”</w:t>
      </w:r>
      <w:r w:rsidR="00F541CA">
        <w:rPr>
          <w:rStyle w:val="Appelnotedebasdep"/>
        </w:rPr>
        <w:footnoteReference w:id="1"/>
      </w:r>
    </w:p>
    <w:p w:rsidR="003F15E5" w:rsidRDefault="003F15E5">
      <w:pPr>
        <w:pStyle w:val="Corpsdetexte"/>
        <w:rPr>
          <w:sz w:val="22"/>
        </w:rPr>
      </w:pPr>
    </w:p>
    <w:p w:rsidR="003F15E5" w:rsidRDefault="00F541CA">
      <w:pPr>
        <w:pStyle w:val="Corpsdetexte"/>
        <w:spacing w:before="100"/>
        <w:ind w:left="2295" w:right="1724"/>
        <w:jc w:val="center"/>
      </w:pPr>
      <w:r>
        <w:t>No final da sessão, os participantes deverão ser capazes de:</w:t>
      </w:r>
    </w:p>
    <w:p w:rsidR="003F15E5" w:rsidRDefault="00F541CA">
      <w:pPr>
        <w:pStyle w:val="Paragraphedeliste"/>
        <w:numPr>
          <w:ilvl w:val="0"/>
          <w:numId w:val="1"/>
        </w:numPr>
        <w:tabs>
          <w:tab w:val="left" w:pos="3029"/>
          <w:tab w:val="left" w:pos="3030"/>
        </w:tabs>
        <w:spacing w:before="182"/>
        <w:rPr>
          <w:sz w:val="24"/>
        </w:rPr>
      </w:pPr>
      <w:r>
        <w:rPr>
          <w:sz w:val="24"/>
        </w:rPr>
        <w:t>Definir os elementos básicos da definição de PDI e deslocação interna.</w:t>
      </w:r>
    </w:p>
    <w:p w:rsidR="003F15E5" w:rsidRDefault="00F541CA">
      <w:pPr>
        <w:pStyle w:val="Paragraphedeliste"/>
        <w:numPr>
          <w:ilvl w:val="0"/>
          <w:numId w:val="1"/>
        </w:numPr>
        <w:tabs>
          <w:tab w:val="left" w:pos="3029"/>
          <w:tab w:val="left" w:pos="3030"/>
        </w:tabs>
        <w:spacing w:before="120"/>
        <w:ind w:right="0" w:hanging="358"/>
        <w:rPr>
          <w:sz w:val="24"/>
        </w:rPr>
      </w:pPr>
      <w:r>
        <w:rPr>
          <w:sz w:val="24"/>
        </w:rPr>
        <w:t>Aplicar as definições em situações específicas.</w:t>
      </w:r>
    </w:p>
    <w:p w:rsidR="003F15E5" w:rsidRDefault="00F541CA">
      <w:pPr>
        <w:pStyle w:val="Paragraphedeliste"/>
        <w:numPr>
          <w:ilvl w:val="0"/>
          <w:numId w:val="1"/>
        </w:numPr>
        <w:tabs>
          <w:tab w:val="left" w:pos="3029"/>
          <w:tab w:val="left" w:pos="3030"/>
        </w:tabs>
        <w:spacing w:before="120" w:line="244" w:lineRule="auto"/>
        <w:rPr>
          <w:sz w:val="24"/>
        </w:rPr>
      </w:pPr>
      <w:r>
        <w:rPr>
          <w:sz w:val="24"/>
        </w:rPr>
        <w:t>Descrever como a definição de PDI pode afetar as respostas às suas necessidades de proteção e assistência.</w:t>
      </w:r>
    </w:p>
    <w:p w:rsidR="003F15E5" w:rsidRDefault="00F541CA">
      <w:pPr>
        <w:pStyle w:val="Paragraphedeliste"/>
        <w:numPr>
          <w:ilvl w:val="0"/>
          <w:numId w:val="1"/>
        </w:numPr>
        <w:tabs>
          <w:tab w:val="left" w:pos="3029"/>
          <w:tab w:val="left" w:pos="3030"/>
        </w:tabs>
        <w:spacing w:before="112"/>
        <w:ind w:right="0" w:hanging="358"/>
        <w:rPr>
          <w:sz w:val="24"/>
        </w:rPr>
      </w:pPr>
      <w:r>
        <w:rPr>
          <w:sz w:val="24"/>
        </w:rPr>
        <w:t>Classificar as necessidades de proteção e assistência das PDI.</w:t>
      </w:r>
    </w:p>
    <w:p w:rsidR="003F15E5" w:rsidRDefault="003F15E5">
      <w:pPr>
        <w:pStyle w:val="Corpsdetexte"/>
        <w:spacing w:before="7"/>
        <w:rPr>
          <w:sz w:val="23"/>
        </w:rPr>
      </w:pPr>
    </w:p>
    <w:p w:rsidR="003F15E5" w:rsidRDefault="00F541CA">
      <w:pPr>
        <w:pStyle w:val="Paragraphedeliste"/>
        <w:numPr>
          <w:ilvl w:val="0"/>
          <w:numId w:val="1"/>
        </w:numPr>
        <w:tabs>
          <w:tab w:val="left" w:pos="3030"/>
        </w:tabs>
        <w:jc w:val="both"/>
        <w:rPr>
          <w:sz w:val="24"/>
        </w:rPr>
      </w:pPr>
      <w:r>
        <w:rPr>
          <w:sz w:val="24"/>
        </w:rPr>
        <w:t>Os cidadãos ou estrangeiros num determinado país podem tornar-se PDIs como resultado de um conflito, violações dos direitos humanos, desastres, situações de violência generalizada e projetos de desenvolvimento.</w:t>
      </w:r>
    </w:p>
    <w:p w:rsidR="003F15E5" w:rsidRDefault="00F541CA">
      <w:pPr>
        <w:pStyle w:val="Paragraphedeliste"/>
        <w:numPr>
          <w:ilvl w:val="0"/>
          <w:numId w:val="1"/>
        </w:numPr>
        <w:tabs>
          <w:tab w:val="left" w:pos="3030"/>
        </w:tabs>
        <w:spacing w:line="292" w:lineRule="exact"/>
        <w:ind w:right="0" w:hanging="358"/>
        <w:jc w:val="both"/>
        <w:rPr>
          <w:sz w:val="24"/>
        </w:rPr>
      </w:pPr>
      <w:r>
        <w:rPr>
          <w:sz w:val="24"/>
        </w:rPr>
        <w:t>Definir corretamente as PDI tem implicações práticas evidentes.</w:t>
      </w:r>
    </w:p>
    <w:p w:rsidR="003F15E5" w:rsidRDefault="00F541CA">
      <w:pPr>
        <w:pStyle w:val="Paragraphedeliste"/>
        <w:numPr>
          <w:ilvl w:val="0"/>
          <w:numId w:val="1"/>
        </w:numPr>
        <w:tabs>
          <w:tab w:val="left" w:pos="3030"/>
        </w:tabs>
        <w:jc w:val="both"/>
        <w:rPr>
          <w:sz w:val="24"/>
        </w:rPr>
      </w:pPr>
      <w:r>
        <w:rPr>
          <w:sz w:val="24"/>
        </w:rPr>
        <w:t>Os Princípios Orientadores fornecem definições de PDI e deslocação interna que visam identificar vulnerabilidades, mas não estabelecem um estatuto legal.</w:t>
      </w:r>
    </w:p>
    <w:p w:rsidR="003F15E5" w:rsidRDefault="00F541CA">
      <w:pPr>
        <w:pStyle w:val="Paragraphedeliste"/>
        <w:numPr>
          <w:ilvl w:val="0"/>
          <w:numId w:val="1"/>
        </w:numPr>
        <w:tabs>
          <w:tab w:val="left" w:pos="3030"/>
        </w:tabs>
        <w:jc w:val="both"/>
        <w:rPr>
          <w:sz w:val="24"/>
        </w:rPr>
      </w:pPr>
      <w:r>
        <w:rPr>
          <w:sz w:val="24"/>
        </w:rPr>
        <w:t>Os instrumentos nacionais devem definir uma PDI em conformidade com as normas internacionais, tais como os Princípios Orientadores.</w:t>
      </w:r>
    </w:p>
    <w:p w:rsidR="003F15E5" w:rsidRDefault="003F15E5">
      <w:pPr>
        <w:pStyle w:val="Corpsdetexte"/>
        <w:spacing w:before="11"/>
        <w:rPr>
          <w:sz w:val="23"/>
        </w:rPr>
      </w:pPr>
    </w:p>
    <w:p w:rsidR="003F15E5" w:rsidRDefault="00F541CA">
      <w:pPr>
        <w:pStyle w:val="Paragraphedeliste"/>
        <w:numPr>
          <w:ilvl w:val="0"/>
          <w:numId w:val="1"/>
        </w:numPr>
        <w:tabs>
          <w:tab w:val="left" w:pos="3029"/>
          <w:tab w:val="left" w:pos="3030"/>
        </w:tabs>
        <w:ind w:right="0" w:hanging="358"/>
        <w:rPr>
          <w:sz w:val="24"/>
        </w:rPr>
      </w:pPr>
      <w:r>
        <w:rPr>
          <w:sz w:val="24"/>
        </w:rPr>
        <w:t>Princípios Orientadores relativos aos Deslocados Internos, 1998.</w:t>
      </w:r>
    </w:p>
    <w:p w:rsidR="003F15E5" w:rsidRDefault="00F541CA">
      <w:pPr>
        <w:pStyle w:val="Paragraphedeliste"/>
        <w:numPr>
          <w:ilvl w:val="0"/>
          <w:numId w:val="1"/>
        </w:numPr>
        <w:tabs>
          <w:tab w:val="left" w:pos="3029"/>
          <w:tab w:val="left" w:pos="3030"/>
        </w:tabs>
        <w:spacing w:before="120"/>
        <w:ind w:right="0" w:hanging="358"/>
        <w:rPr>
          <w:sz w:val="24"/>
        </w:rPr>
      </w:pPr>
      <w:r>
        <w:rPr>
          <w:sz w:val="24"/>
        </w:rPr>
        <w:t>Convenção de Kampala, 2009.</w:t>
      </w:r>
    </w:p>
    <w:p w:rsidR="003F15E5" w:rsidRDefault="00F541CA">
      <w:pPr>
        <w:pStyle w:val="Paragraphedeliste"/>
        <w:numPr>
          <w:ilvl w:val="0"/>
          <w:numId w:val="1"/>
        </w:numPr>
        <w:tabs>
          <w:tab w:val="left" w:pos="3029"/>
          <w:tab w:val="left" w:pos="3030"/>
        </w:tabs>
        <w:spacing w:before="120"/>
        <w:rPr>
          <w:sz w:val="24"/>
        </w:rPr>
      </w:pPr>
      <w:r>
        <w:rPr>
          <w:sz w:val="24"/>
        </w:rPr>
        <w:t>Os números das deslocações na Ucrânia não refletem uma realidade complexa, documento informativo do IDMC, setembro de 2015.</w:t>
      </w:r>
    </w:p>
    <w:p w:rsidR="003F15E5" w:rsidRDefault="00F541CA">
      <w:pPr>
        <w:pStyle w:val="Paragraphedeliste"/>
        <w:numPr>
          <w:ilvl w:val="0"/>
          <w:numId w:val="1"/>
        </w:numPr>
        <w:tabs>
          <w:tab w:val="left" w:pos="3029"/>
          <w:tab w:val="left" w:pos="3030"/>
        </w:tabs>
        <w:spacing w:before="120"/>
        <w:rPr>
          <w:sz w:val="24"/>
        </w:rPr>
      </w:pPr>
      <w:r>
        <w:rPr>
          <w:sz w:val="24"/>
        </w:rPr>
        <w:t>Instrumentos Nacionais sobre Deslocações Internas: Guia para o seu Desenvolvimento, IDMC/Brookings, 2013.</w:t>
      </w:r>
    </w:p>
    <w:p w:rsidR="003F15E5" w:rsidRDefault="003F15E5">
      <w:pPr>
        <w:pStyle w:val="Corpsdetexte"/>
        <w:spacing w:before="8"/>
        <w:rPr>
          <w:sz w:val="21"/>
        </w:rPr>
      </w:pPr>
    </w:p>
    <w:p w:rsidR="003F15E5" w:rsidRDefault="00F541CA">
      <w:pPr>
        <w:pStyle w:val="Corpsdetexte"/>
        <w:spacing w:before="100"/>
        <w:ind w:left="2315"/>
      </w:pPr>
      <w:r>
        <w:t>Definição de PDI e elaboração de políticas.</w:t>
      </w:r>
    </w:p>
    <w:p w:rsidR="003F15E5" w:rsidRDefault="003F15E5">
      <w:pPr>
        <w:pStyle w:val="Corpsdetexte"/>
        <w:rPr>
          <w:sz w:val="20"/>
        </w:rPr>
      </w:pPr>
    </w:p>
    <w:p w:rsidR="003F15E5" w:rsidRDefault="003F15E5">
      <w:pPr>
        <w:pStyle w:val="Corpsdetexte"/>
        <w:rPr>
          <w:sz w:val="20"/>
        </w:rPr>
      </w:pPr>
    </w:p>
    <w:p w:rsidR="003F15E5" w:rsidRDefault="003F15E5">
      <w:pPr>
        <w:pStyle w:val="Corpsdetexte"/>
        <w:spacing w:before="12"/>
        <w:rPr>
          <w:sz w:val="9"/>
        </w:rPr>
      </w:pPr>
      <w:bookmarkStart w:id="0" w:name="_GoBack"/>
      <w:bookmarkEnd w:id="0"/>
    </w:p>
    <w:sectPr w:rsidR="003F15E5">
      <w:pgSz w:w="11900" w:h="16820"/>
      <w:pgMar w:top="1420" w:right="1480" w:bottom="280" w:left="12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1CA" w:rsidRDefault="00F541CA" w:rsidP="00F541CA">
      <w:r>
        <w:separator/>
      </w:r>
    </w:p>
  </w:endnote>
  <w:endnote w:type="continuationSeparator" w:id="0">
    <w:p w:rsidR="00F541CA" w:rsidRDefault="00F541CA" w:rsidP="00F54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1CA" w:rsidRDefault="00F541CA" w:rsidP="00F541CA">
      <w:r>
        <w:separator/>
      </w:r>
    </w:p>
  </w:footnote>
  <w:footnote w:type="continuationSeparator" w:id="0">
    <w:p w:rsidR="00F541CA" w:rsidRDefault="00F541CA" w:rsidP="00F541CA">
      <w:r>
        <w:continuationSeparator/>
      </w:r>
    </w:p>
  </w:footnote>
  <w:footnote w:id="1">
    <w:p w:rsidR="00F541CA" w:rsidRDefault="00F541CA" w:rsidP="00F541CA">
      <w:pPr>
        <w:spacing w:before="143" w:line="254" w:lineRule="auto"/>
        <w:ind w:left="193"/>
        <w:rPr>
          <w:sz w:val="19"/>
        </w:rPr>
      </w:pPr>
      <w:r>
        <w:rPr>
          <w:rStyle w:val="Appelnotedebasdep"/>
        </w:rPr>
        <w:footnoteRef/>
      </w:r>
      <w:r>
        <w:t xml:space="preserve"> </w:t>
      </w:r>
      <w:r>
        <w:rPr>
          <w:sz w:val="19"/>
        </w:rPr>
        <w:t xml:space="preserve">Samuel Hall - Consultoria, da Política à Implementação: Colaborar com os procedimentos nacionais e as partes interessadas nacionais e internacionais em 2015, disponível em </w:t>
      </w:r>
      <w:hyperlink r:id="rId1">
        <w:r>
          <w:rPr>
            <w:color w:val="0563C1"/>
            <w:sz w:val="19"/>
            <w:u w:val="single" w:color="0563C1"/>
          </w:rPr>
          <w:t>http://goo.gl/JJbVSD</w:t>
        </w:r>
      </w:hyperlink>
      <w:r>
        <w:t>.</w:t>
      </w:r>
    </w:p>
    <w:p w:rsidR="00F541CA" w:rsidRPr="00F541CA" w:rsidRDefault="00F541CA">
      <w:pPr>
        <w:pStyle w:val="Notedebasdepag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EA4D38"/>
    <w:multiLevelType w:val="hybridMultilevel"/>
    <w:tmpl w:val="5EA207F4"/>
    <w:lvl w:ilvl="0" w:tplc="92B0F524">
      <w:numFmt w:val="bullet"/>
      <w:lvlText w:val=""/>
      <w:lvlJc w:val="left"/>
      <w:pPr>
        <w:ind w:left="3029" w:hanging="357"/>
      </w:pPr>
      <w:rPr>
        <w:rFonts w:ascii="Wingdings" w:eastAsia="Wingdings" w:hAnsi="Wingdings" w:cs="Wingdings" w:hint="default"/>
        <w:color w:val="1F4E79"/>
        <w:w w:val="100"/>
        <w:sz w:val="24"/>
        <w:szCs w:val="24"/>
      </w:rPr>
    </w:lvl>
    <w:lvl w:ilvl="1" w:tplc="FC04D39A">
      <w:numFmt w:val="bullet"/>
      <w:lvlText w:val="•"/>
      <w:lvlJc w:val="left"/>
      <w:pPr>
        <w:ind w:left="3638" w:hanging="357"/>
      </w:pPr>
      <w:rPr>
        <w:rFonts w:hint="default"/>
      </w:rPr>
    </w:lvl>
    <w:lvl w:ilvl="2" w:tplc="6DF01F40">
      <w:numFmt w:val="bullet"/>
      <w:lvlText w:val="•"/>
      <w:lvlJc w:val="left"/>
      <w:pPr>
        <w:ind w:left="4256" w:hanging="357"/>
      </w:pPr>
      <w:rPr>
        <w:rFonts w:hint="default"/>
      </w:rPr>
    </w:lvl>
    <w:lvl w:ilvl="3" w:tplc="2B3E30D4">
      <w:numFmt w:val="bullet"/>
      <w:lvlText w:val="•"/>
      <w:lvlJc w:val="left"/>
      <w:pPr>
        <w:ind w:left="4874" w:hanging="357"/>
      </w:pPr>
      <w:rPr>
        <w:rFonts w:hint="default"/>
      </w:rPr>
    </w:lvl>
    <w:lvl w:ilvl="4" w:tplc="99246E60">
      <w:numFmt w:val="bullet"/>
      <w:lvlText w:val="•"/>
      <w:lvlJc w:val="left"/>
      <w:pPr>
        <w:ind w:left="5492" w:hanging="357"/>
      </w:pPr>
      <w:rPr>
        <w:rFonts w:hint="default"/>
      </w:rPr>
    </w:lvl>
    <w:lvl w:ilvl="5" w:tplc="F87AF3B0">
      <w:numFmt w:val="bullet"/>
      <w:lvlText w:val="•"/>
      <w:lvlJc w:val="left"/>
      <w:pPr>
        <w:ind w:left="6110" w:hanging="357"/>
      </w:pPr>
      <w:rPr>
        <w:rFonts w:hint="default"/>
      </w:rPr>
    </w:lvl>
    <w:lvl w:ilvl="6" w:tplc="4A481028">
      <w:numFmt w:val="bullet"/>
      <w:lvlText w:val="•"/>
      <w:lvlJc w:val="left"/>
      <w:pPr>
        <w:ind w:left="6728" w:hanging="357"/>
      </w:pPr>
      <w:rPr>
        <w:rFonts w:hint="default"/>
      </w:rPr>
    </w:lvl>
    <w:lvl w:ilvl="7" w:tplc="2A14A166">
      <w:numFmt w:val="bullet"/>
      <w:lvlText w:val="•"/>
      <w:lvlJc w:val="left"/>
      <w:pPr>
        <w:ind w:left="7346" w:hanging="357"/>
      </w:pPr>
      <w:rPr>
        <w:rFonts w:hint="default"/>
      </w:rPr>
    </w:lvl>
    <w:lvl w:ilvl="8" w:tplc="76A62E22">
      <w:numFmt w:val="bullet"/>
      <w:lvlText w:val="•"/>
      <w:lvlJc w:val="left"/>
      <w:pPr>
        <w:ind w:left="7964" w:hanging="35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5E5"/>
    <w:rsid w:val="000305D0"/>
    <w:rsid w:val="00301087"/>
    <w:rsid w:val="003F15E5"/>
    <w:rsid w:val="00AC71AD"/>
    <w:rsid w:val="00F54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41D4B1B2"/>
  <w15:docId w15:val="{3C0C09D8-55B7-4897-8FB7-FD084E8E0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Titre">
    <w:name w:val="Title"/>
    <w:basedOn w:val="Normal"/>
    <w:uiPriority w:val="10"/>
    <w:qFormat/>
    <w:pPr>
      <w:ind w:left="193"/>
    </w:pPr>
    <w:rPr>
      <w:sz w:val="52"/>
      <w:szCs w:val="52"/>
    </w:rPr>
  </w:style>
  <w:style w:type="paragraph" w:styleId="Paragraphedeliste">
    <w:name w:val="List Paragraph"/>
    <w:basedOn w:val="Normal"/>
    <w:uiPriority w:val="1"/>
    <w:qFormat/>
    <w:pPr>
      <w:ind w:left="3029" w:right="112" w:hanging="357"/>
    </w:pPr>
  </w:style>
  <w:style w:type="paragraph" w:customStyle="1" w:styleId="TableParagraph">
    <w:name w:val="Table Paragraph"/>
    <w:basedOn w:val="Normal"/>
    <w:uiPriority w:val="1"/>
    <w:qFormat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F541CA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F541CA"/>
    <w:rPr>
      <w:rFonts w:ascii="Calibri" w:eastAsia="Calibri" w:hAnsi="Calibri" w:cs="Calibri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F541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goo.gl/JJbVSD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51084-E08E-461E-9352-534C069FF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579</Words>
  <Characters>3187</Characters>
  <Application>Microsoft Office Word</Application>
  <DocSecurity>0</DocSecurity>
  <Lines>26</Lines>
  <Paragraphs>7</Paragraphs>
  <ScaleCrop>false</ScaleCrop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Vincent</cp:lastModifiedBy>
  <cp:revision>2</cp:revision>
  <dcterms:created xsi:type="dcterms:W3CDTF">2021-01-20T11:55:00Z</dcterms:created>
  <dcterms:modified xsi:type="dcterms:W3CDTF">2021-01-20T11:55:00Z</dcterms:modified>
</cp:coreProperties>
</file>